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6029" w:type="pct"/>
        <w:jc w:val="center"/>
        <w:tblInd w:w="-743" w:type="dxa"/>
        <w:tblLayout w:type="fixed"/>
        <w:tblLook w:val="04A0"/>
      </w:tblPr>
      <w:tblGrid>
        <w:gridCol w:w="1135"/>
        <w:gridCol w:w="1559"/>
        <w:gridCol w:w="2269"/>
        <w:gridCol w:w="3257"/>
        <w:gridCol w:w="1561"/>
        <w:gridCol w:w="1418"/>
      </w:tblGrid>
      <w:tr w:rsidR="00087F6C" w:rsidRPr="00087F6C" w:rsidTr="004B2393">
        <w:trPr>
          <w:trHeight w:val="567"/>
          <w:jc w:val="center"/>
        </w:trPr>
        <w:tc>
          <w:tcPr>
            <w:tcW w:w="507" w:type="pct"/>
            <w:shd w:val="clear" w:color="auto" w:fill="548DD4" w:themeFill="text2" w:themeFillTint="99"/>
            <w:vAlign w:val="center"/>
            <w:hideMark/>
          </w:tcPr>
          <w:p w:rsidR="009C50F6" w:rsidRPr="00087F6C" w:rsidRDefault="00087F6C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Mois</w:t>
            </w:r>
          </w:p>
        </w:tc>
        <w:tc>
          <w:tcPr>
            <w:tcW w:w="696" w:type="pct"/>
            <w:shd w:val="clear" w:color="auto" w:fill="548DD4" w:themeFill="text2" w:themeFillTint="99"/>
            <w:vAlign w:val="center"/>
            <w:hideMark/>
          </w:tcPr>
          <w:p w:rsidR="009C50F6" w:rsidRPr="00087F6C" w:rsidRDefault="00087F6C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Phases de jeu</w:t>
            </w:r>
          </w:p>
        </w:tc>
        <w:tc>
          <w:tcPr>
            <w:tcW w:w="1013" w:type="pct"/>
            <w:shd w:val="clear" w:color="auto" w:fill="548DD4" w:themeFill="text2" w:themeFillTint="99"/>
            <w:vAlign w:val="center"/>
            <w:hideMark/>
          </w:tcPr>
          <w:p w:rsidR="009C50F6" w:rsidRPr="00087F6C" w:rsidRDefault="00087F6C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Règles d’actions collectives</w:t>
            </w:r>
          </w:p>
        </w:tc>
        <w:tc>
          <w:tcPr>
            <w:tcW w:w="1454" w:type="pct"/>
            <w:shd w:val="clear" w:color="auto" w:fill="548DD4" w:themeFill="text2" w:themeFillTint="99"/>
            <w:vAlign w:val="center"/>
            <w:hideMark/>
          </w:tcPr>
          <w:p w:rsidR="009C50F6" w:rsidRPr="00087F6C" w:rsidRDefault="00087F6C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Règles d’actions  individuelles</w:t>
            </w:r>
          </w:p>
        </w:tc>
        <w:tc>
          <w:tcPr>
            <w:tcW w:w="697" w:type="pct"/>
            <w:shd w:val="clear" w:color="auto" w:fill="548DD4" w:themeFill="text2" w:themeFillTint="99"/>
            <w:vAlign w:val="center"/>
            <w:hideMark/>
          </w:tcPr>
          <w:p w:rsidR="009C50F6" w:rsidRPr="00087F6C" w:rsidRDefault="00087F6C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Moyens techniques</w:t>
            </w:r>
          </w:p>
        </w:tc>
        <w:tc>
          <w:tcPr>
            <w:tcW w:w="633" w:type="pct"/>
            <w:shd w:val="clear" w:color="auto" w:fill="548DD4" w:themeFill="text2" w:themeFillTint="99"/>
            <w:vAlign w:val="center"/>
            <w:hideMark/>
          </w:tcPr>
          <w:p w:rsidR="00087F6C" w:rsidRPr="00087F6C" w:rsidRDefault="00087F6C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Moyens</w:t>
            </w:r>
          </w:p>
          <w:p w:rsidR="009C50F6" w:rsidRPr="00087F6C" w:rsidRDefault="00087F6C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Athlétiques</w:t>
            </w:r>
          </w:p>
        </w:tc>
      </w:tr>
      <w:tr w:rsidR="00087F6C" w:rsidRPr="00087F6C" w:rsidTr="004B2393">
        <w:trPr>
          <w:trHeight w:val="1539"/>
          <w:jc w:val="center"/>
        </w:trPr>
        <w:tc>
          <w:tcPr>
            <w:tcW w:w="507" w:type="pct"/>
            <w:vMerge w:val="restart"/>
            <w:shd w:val="clear" w:color="auto" w:fill="548DD4" w:themeFill="text2" w:themeFillTint="99"/>
            <w:vAlign w:val="center"/>
            <w:hideMark/>
          </w:tcPr>
          <w:p w:rsidR="00087F6C" w:rsidRDefault="00087F6C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Septembre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Octobre</w:t>
            </w:r>
          </w:p>
        </w:tc>
        <w:tc>
          <w:tcPr>
            <w:tcW w:w="696" w:type="pct"/>
            <w:vAlign w:val="center"/>
            <w:hideMark/>
          </w:tcPr>
          <w:p w:rsidR="00087F6C" w:rsidRPr="00087F6C" w:rsidRDefault="00087F6C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Conserver</w:t>
            </w:r>
          </w:p>
          <w:p w:rsidR="00087F6C" w:rsidRPr="00087F6C" w:rsidRDefault="00087F6C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Progresser</w:t>
            </w:r>
          </w:p>
        </w:tc>
        <w:tc>
          <w:tcPr>
            <w:tcW w:w="1013" w:type="pct"/>
            <w:vAlign w:val="center"/>
            <w:hideMark/>
          </w:tcPr>
          <w:p w:rsidR="00087F6C" w:rsidRPr="00087F6C" w:rsidRDefault="00087F6C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Occuper</w:t>
            </w:r>
            <w:r w:rsidR="004B23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87F6C">
              <w:rPr>
                <w:rFonts w:ascii="Arial" w:hAnsi="Arial" w:cs="Arial"/>
                <w:bCs/>
                <w:sz w:val="16"/>
                <w:szCs w:val="16"/>
              </w:rPr>
              <w:t xml:space="preserve"> l’espace en largeur et profondeur</w:t>
            </w:r>
          </w:p>
        </w:tc>
        <w:tc>
          <w:tcPr>
            <w:tcW w:w="1454" w:type="pct"/>
            <w:vAlign w:val="center"/>
            <w:hideMark/>
          </w:tcPr>
          <w:p w:rsidR="00087F6C" w:rsidRPr="00087F6C" w:rsidRDefault="00087F6C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VOIR</w:t>
            </w:r>
          </w:p>
          <w:p w:rsidR="00087F6C" w:rsidRPr="00087F6C" w:rsidRDefault="00087F6C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Utiliser les notions appuis, appels et soutien selon les possibilités.</w:t>
            </w:r>
          </w:p>
          <w:p w:rsidR="00087F6C" w:rsidRPr="00087F6C" w:rsidRDefault="00087F6C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ETRE VU</w:t>
            </w:r>
          </w:p>
          <w:p w:rsidR="00087F6C" w:rsidRPr="00087F6C" w:rsidRDefault="00087F6C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Se déplacer dans les intervalles</w:t>
            </w:r>
          </w:p>
          <w:p w:rsidR="00087F6C" w:rsidRPr="00087F6C" w:rsidRDefault="00087F6C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Se démarquer en appui entre les lignes et en soutien</w:t>
            </w:r>
          </w:p>
        </w:tc>
        <w:tc>
          <w:tcPr>
            <w:tcW w:w="697" w:type="pct"/>
            <w:vAlign w:val="center"/>
            <w:hideMark/>
          </w:tcPr>
          <w:p w:rsid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Les passes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Les prises de balle et enchaînement</w:t>
            </w:r>
          </w:p>
        </w:tc>
        <w:tc>
          <w:tcPr>
            <w:tcW w:w="633" w:type="pct"/>
            <w:vMerge w:val="restart"/>
            <w:vAlign w:val="center"/>
            <w:hideMark/>
          </w:tcPr>
          <w:p w:rsidR="00087F6C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4B2393">
              <w:rPr>
                <w:rFonts w:ascii="Arial" w:hAnsi="Arial" w:cs="Arial"/>
                <w:sz w:val="44"/>
                <w:szCs w:val="16"/>
              </w:rPr>
              <w:t>P</w:t>
            </w:r>
          </w:p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4B2393">
              <w:rPr>
                <w:rFonts w:ascii="Arial" w:hAnsi="Arial" w:cs="Arial"/>
                <w:sz w:val="44"/>
                <w:szCs w:val="16"/>
              </w:rPr>
              <w:t>S</w:t>
            </w:r>
          </w:p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4B2393">
              <w:rPr>
                <w:rFonts w:ascii="Arial" w:hAnsi="Arial" w:cs="Arial"/>
                <w:sz w:val="44"/>
                <w:szCs w:val="16"/>
              </w:rPr>
              <w:t>Y</w:t>
            </w:r>
          </w:p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4B2393">
              <w:rPr>
                <w:rFonts w:ascii="Arial" w:hAnsi="Arial" w:cs="Arial"/>
                <w:sz w:val="44"/>
                <w:szCs w:val="16"/>
              </w:rPr>
              <w:t>C</w:t>
            </w:r>
          </w:p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4B2393">
              <w:rPr>
                <w:rFonts w:ascii="Arial" w:hAnsi="Arial" w:cs="Arial"/>
                <w:sz w:val="44"/>
                <w:szCs w:val="16"/>
              </w:rPr>
              <w:t>H</w:t>
            </w:r>
          </w:p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4B2393">
              <w:rPr>
                <w:rFonts w:ascii="Arial" w:hAnsi="Arial" w:cs="Arial"/>
                <w:sz w:val="44"/>
                <w:szCs w:val="16"/>
              </w:rPr>
              <w:t>O</w:t>
            </w:r>
          </w:p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4B2393">
              <w:rPr>
                <w:rFonts w:ascii="Arial" w:hAnsi="Arial" w:cs="Arial"/>
                <w:sz w:val="44"/>
                <w:szCs w:val="16"/>
              </w:rPr>
              <w:t>M</w:t>
            </w:r>
          </w:p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4B2393">
              <w:rPr>
                <w:rFonts w:ascii="Arial" w:hAnsi="Arial" w:cs="Arial"/>
                <w:sz w:val="44"/>
                <w:szCs w:val="16"/>
              </w:rPr>
              <w:t>O</w:t>
            </w:r>
          </w:p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4B2393">
              <w:rPr>
                <w:rFonts w:ascii="Arial" w:hAnsi="Arial" w:cs="Arial"/>
                <w:sz w:val="44"/>
                <w:szCs w:val="16"/>
              </w:rPr>
              <w:t>T</w:t>
            </w:r>
          </w:p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4B2393">
              <w:rPr>
                <w:rFonts w:ascii="Arial" w:hAnsi="Arial" w:cs="Arial"/>
                <w:sz w:val="44"/>
                <w:szCs w:val="16"/>
              </w:rPr>
              <w:t>R</w:t>
            </w:r>
          </w:p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4B2393">
              <w:rPr>
                <w:rFonts w:ascii="Arial" w:hAnsi="Arial" w:cs="Arial"/>
                <w:sz w:val="44"/>
                <w:szCs w:val="16"/>
              </w:rPr>
              <w:t>I</w:t>
            </w:r>
          </w:p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4B2393">
              <w:rPr>
                <w:rFonts w:ascii="Arial" w:hAnsi="Arial" w:cs="Arial"/>
                <w:sz w:val="44"/>
                <w:szCs w:val="16"/>
              </w:rPr>
              <w:t>C</w:t>
            </w:r>
          </w:p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4B2393">
              <w:rPr>
                <w:rFonts w:ascii="Arial" w:hAnsi="Arial" w:cs="Arial"/>
                <w:sz w:val="44"/>
                <w:szCs w:val="16"/>
              </w:rPr>
              <w:t>I</w:t>
            </w:r>
          </w:p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44"/>
                <w:szCs w:val="16"/>
              </w:rPr>
            </w:pPr>
            <w:r w:rsidRPr="004B2393">
              <w:rPr>
                <w:rFonts w:ascii="Arial" w:hAnsi="Arial" w:cs="Arial"/>
                <w:sz w:val="44"/>
                <w:szCs w:val="16"/>
              </w:rPr>
              <w:t>T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393">
              <w:rPr>
                <w:rFonts w:ascii="Arial" w:hAnsi="Arial" w:cs="Arial"/>
                <w:sz w:val="44"/>
                <w:szCs w:val="16"/>
              </w:rPr>
              <w:t>E</w:t>
            </w:r>
          </w:p>
        </w:tc>
      </w:tr>
      <w:tr w:rsidR="004B2393" w:rsidRPr="00087F6C" w:rsidTr="004B2393">
        <w:trPr>
          <w:trHeight w:val="835"/>
          <w:jc w:val="center"/>
        </w:trPr>
        <w:tc>
          <w:tcPr>
            <w:tcW w:w="507" w:type="pct"/>
            <w:vMerge/>
            <w:shd w:val="clear" w:color="auto" w:fill="548DD4" w:themeFill="text2" w:themeFillTint="99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S’opposer …</w:t>
            </w:r>
          </w:p>
        </w:tc>
        <w:tc>
          <w:tcPr>
            <w:tcW w:w="1013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Récupérer le ballon proche de son but</w:t>
            </w:r>
          </w:p>
        </w:tc>
        <w:tc>
          <w:tcPr>
            <w:tcW w:w="1454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Harceler le porteur et repousser les attaquants sur les côtés pour empêcher la finition.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Cadrer le porteur pour empêcher la dernière passe ou le tir</w:t>
            </w:r>
          </w:p>
        </w:tc>
        <w:tc>
          <w:tcPr>
            <w:tcW w:w="697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Jeu de corps (le contre, la charge)</w:t>
            </w:r>
          </w:p>
        </w:tc>
        <w:tc>
          <w:tcPr>
            <w:tcW w:w="633" w:type="pct"/>
            <w:vMerge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393" w:rsidRPr="00087F6C" w:rsidTr="004B2393">
        <w:trPr>
          <w:trHeight w:val="1009"/>
          <w:jc w:val="center"/>
        </w:trPr>
        <w:tc>
          <w:tcPr>
            <w:tcW w:w="507" w:type="pct"/>
            <w:vMerge w:val="restart"/>
            <w:shd w:val="clear" w:color="auto" w:fill="548DD4" w:themeFill="text2" w:themeFillTint="99"/>
            <w:vAlign w:val="center"/>
            <w:hideMark/>
          </w:tcPr>
          <w:p w:rsid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Novembre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Décembre</w:t>
            </w:r>
          </w:p>
        </w:tc>
        <w:tc>
          <w:tcPr>
            <w:tcW w:w="696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Déséquilibrer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Finir</w:t>
            </w:r>
          </w:p>
        </w:tc>
        <w:tc>
          <w:tcPr>
            <w:tcW w:w="1013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Garder le temps d’avance pour finir l’action</w:t>
            </w:r>
          </w:p>
        </w:tc>
        <w:tc>
          <w:tcPr>
            <w:tcW w:w="1454" w:type="pct"/>
            <w:vAlign w:val="center"/>
            <w:hideMark/>
          </w:tcPr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393">
              <w:rPr>
                <w:rFonts w:ascii="Arial" w:hAnsi="Arial" w:cs="Arial"/>
                <w:bCs/>
                <w:sz w:val="16"/>
                <w:szCs w:val="16"/>
              </w:rPr>
              <w:t>Occuper</w:t>
            </w:r>
            <w:r w:rsidRPr="004B2393">
              <w:rPr>
                <w:rFonts w:ascii="Arial" w:hAnsi="Arial" w:cs="Arial"/>
                <w:bCs/>
                <w:sz w:val="16"/>
                <w:szCs w:val="16"/>
              </w:rPr>
              <w:t xml:space="preserve"> la zone de vérité en nombre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B2393">
              <w:rPr>
                <w:rFonts w:ascii="Arial" w:hAnsi="Arial" w:cs="Arial"/>
                <w:bCs/>
                <w:sz w:val="16"/>
                <w:szCs w:val="16"/>
              </w:rPr>
              <w:t>Arriver lancer devant le but</w:t>
            </w:r>
          </w:p>
        </w:tc>
        <w:tc>
          <w:tcPr>
            <w:tcW w:w="697" w:type="pct"/>
            <w:vAlign w:val="center"/>
            <w:hideMark/>
          </w:tcPr>
          <w:p w:rsid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sz w:val="16"/>
                <w:szCs w:val="16"/>
              </w:rPr>
              <w:t>Les tirs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dribbles et enchaînement</w:t>
            </w:r>
          </w:p>
        </w:tc>
        <w:tc>
          <w:tcPr>
            <w:tcW w:w="633" w:type="pct"/>
            <w:vMerge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393" w:rsidRPr="00087F6C" w:rsidTr="004B2393">
        <w:trPr>
          <w:trHeight w:val="757"/>
          <w:jc w:val="center"/>
        </w:trPr>
        <w:tc>
          <w:tcPr>
            <w:tcW w:w="507" w:type="pct"/>
            <w:vMerge/>
            <w:shd w:val="clear" w:color="auto" w:fill="548DD4" w:themeFill="text2" w:themeFillTint="99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S’opposer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…</w:t>
            </w:r>
          </w:p>
        </w:tc>
        <w:tc>
          <w:tcPr>
            <w:tcW w:w="1013" w:type="pct"/>
            <w:vAlign w:val="center"/>
            <w:hideMark/>
          </w:tcPr>
          <w:p w:rsid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replacer sur l’axe ballon/but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Défendre en permanence l’axe ballon/but</w:t>
            </w:r>
          </w:p>
        </w:tc>
        <w:tc>
          <w:tcPr>
            <w:tcW w:w="1454" w:type="pct"/>
            <w:vAlign w:val="center"/>
            <w:hideMark/>
          </w:tcPr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393">
              <w:rPr>
                <w:rFonts w:ascii="Arial" w:hAnsi="Arial" w:cs="Arial"/>
                <w:sz w:val="16"/>
              </w:rPr>
              <w:t>Cadrer pour interdire la prise de vitesse et réduire la prise d’information</w:t>
            </w:r>
          </w:p>
        </w:tc>
        <w:tc>
          <w:tcPr>
            <w:tcW w:w="697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Jeu de corps (le contre, la charge)</w:t>
            </w:r>
          </w:p>
        </w:tc>
        <w:tc>
          <w:tcPr>
            <w:tcW w:w="633" w:type="pct"/>
            <w:vMerge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393" w:rsidRPr="00087F6C" w:rsidTr="004B2393">
        <w:trPr>
          <w:trHeight w:val="2714"/>
          <w:jc w:val="center"/>
        </w:trPr>
        <w:tc>
          <w:tcPr>
            <w:tcW w:w="507" w:type="pct"/>
            <w:vMerge w:val="restart"/>
            <w:shd w:val="clear" w:color="auto" w:fill="548DD4" w:themeFill="text2" w:themeFillTint="99"/>
            <w:vAlign w:val="center"/>
            <w:hideMark/>
          </w:tcPr>
          <w:p w:rsid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Janvier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Février</w:t>
            </w:r>
          </w:p>
        </w:tc>
        <w:tc>
          <w:tcPr>
            <w:tcW w:w="696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Conserver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Progresser</w:t>
            </w:r>
          </w:p>
        </w:tc>
        <w:tc>
          <w:tcPr>
            <w:tcW w:w="1013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Avoir des solutions de passes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sym w:font="Wingdings" w:char="00E0"/>
            </w:r>
            <w:r w:rsidRPr="00087F6C">
              <w:rPr>
                <w:rFonts w:ascii="Arial" w:hAnsi="Arial" w:cs="Arial"/>
                <w:bCs/>
                <w:sz w:val="16"/>
                <w:szCs w:val="16"/>
              </w:rPr>
              <w:t xml:space="preserve">  recréer des réseaux  (triangles et jeu à l’intérieur)</w:t>
            </w:r>
          </w:p>
        </w:tc>
        <w:tc>
          <w:tcPr>
            <w:tcW w:w="1454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-Prendre l’information = VOIR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-Progresser quand l’espace est libre et donner quand il est bloqué.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Enchaîner donner, se déplacer pour redemander (jeu à 2 ou à 3).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Etre toujours en mouvement et concerné par le jeu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SE RENDRE DISPONIBLE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Se déplacer en s’orientant par rapport au sens du jeu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Recevoir en mouvement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Se démarquer : à distance de passe, vu du porteur, à l’écart des défenseurs</w:t>
            </w:r>
          </w:p>
        </w:tc>
        <w:tc>
          <w:tcPr>
            <w:tcW w:w="697" w:type="pct"/>
            <w:vAlign w:val="center"/>
            <w:hideMark/>
          </w:tcPr>
          <w:p w:rsid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Utiliser le corps pour protéger le ballon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Les conduites et enchaînement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393" w:rsidRPr="00087F6C" w:rsidTr="004B2393">
        <w:trPr>
          <w:trHeight w:val="687"/>
          <w:jc w:val="center"/>
        </w:trPr>
        <w:tc>
          <w:tcPr>
            <w:tcW w:w="507" w:type="pct"/>
            <w:vMerge/>
            <w:shd w:val="clear" w:color="auto" w:fill="548DD4" w:themeFill="text2" w:themeFillTint="99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S’opposer…</w:t>
            </w:r>
          </w:p>
        </w:tc>
        <w:tc>
          <w:tcPr>
            <w:tcW w:w="1013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Récupérer le ballon proche de son but</w:t>
            </w:r>
          </w:p>
        </w:tc>
        <w:tc>
          <w:tcPr>
            <w:tcW w:w="1454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Harceler le porteur et repousser les attaquants sur les côtés pour empêcher la finition.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Cadrer le porteur pour empêcher la dernière passe ou le tir</w:t>
            </w:r>
          </w:p>
        </w:tc>
        <w:tc>
          <w:tcPr>
            <w:tcW w:w="697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Jeu de corps (le contre, la charge)</w:t>
            </w:r>
          </w:p>
        </w:tc>
        <w:tc>
          <w:tcPr>
            <w:tcW w:w="633" w:type="pct"/>
            <w:vMerge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393" w:rsidRPr="00087F6C" w:rsidTr="004B2393">
        <w:trPr>
          <w:trHeight w:val="569"/>
          <w:jc w:val="center"/>
        </w:trPr>
        <w:tc>
          <w:tcPr>
            <w:tcW w:w="507" w:type="pct"/>
            <w:vMerge w:val="restart"/>
            <w:shd w:val="clear" w:color="auto" w:fill="548DD4" w:themeFill="text2" w:themeFillTint="99"/>
            <w:vAlign w:val="center"/>
            <w:hideMark/>
          </w:tcPr>
          <w:p w:rsid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Mars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Avril</w:t>
            </w:r>
          </w:p>
        </w:tc>
        <w:tc>
          <w:tcPr>
            <w:tcW w:w="696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Déséquilibrer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Finir</w:t>
            </w:r>
          </w:p>
        </w:tc>
        <w:tc>
          <w:tcPr>
            <w:tcW w:w="1013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Garder le temps d’avance pour finir l’action</w:t>
            </w:r>
          </w:p>
        </w:tc>
        <w:tc>
          <w:tcPr>
            <w:tcW w:w="1454" w:type="pct"/>
            <w:vAlign w:val="center"/>
            <w:hideMark/>
          </w:tcPr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393">
              <w:rPr>
                <w:rFonts w:ascii="Arial" w:hAnsi="Arial" w:cs="Arial"/>
                <w:bCs/>
                <w:sz w:val="16"/>
                <w:szCs w:val="16"/>
              </w:rPr>
              <w:t>Occuper la zone de vérité en nombre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B2393">
              <w:rPr>
                <w:rFonts w:ascii="Arial" w:hAnsi="Arial" w:cs="Arial"/>
                <w:bCs/>
                <w:sz w:val="16"/>
                <w:szCs w:val="16"/>
              </w:rPr>
              <w:t>Arriver lancer devant le but</w:t>
            </w:r>
          </w:p>
        </w:tc>
        <w:tc>
          <w:tcPr>
            <w:tcW w:w="697" w:type="pct"/>
            <w:vAlign w:val="center"/>
            <w:hideMark/>
          </w:tcPr>
          <w:p w:rsid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tirs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dribbles et enchaînements</w:t>
            </w:r>
          </w:p>
        </w:tc>
        <w:tc>
          <w:tcPr>
            <w:tcW w:w="633" w:type="pct"/>
            <w:vMerge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393" w:rsidRPr="00087F6C" w:rsidTr="004B2393">
        <w:trPr>
          <w:trHeight w:val="793"/>
          <w:jc w:val="center"/>
        </w:trPr>
        <w:tc>
          <w:tcPr>
            <w:tcW w:w="507" w:type="pct"/>
            <w:vMerge/>
            <w:shd w:val="clear" w:color="auto" w:fill="548DD4" w:themeFill="text2" w:themeFillTint="99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S’opposer…</w:t>
            </w:r>
          </w:p>
        </w:tc>
        <w:tc>
          <w:tcPr>
            <w:tcW w:w="1013" w:type="pct"/>
            <w:vAlign w:val="center"/>
            <w:hideMark/>
          </w:tcPr>
          <w:p w:rsid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replacer sur l’axe ballon/but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Défendre en permanence l’axe ballon/but</w:t>
            </w:r>
          </w:p>
        </w:tc>
        <w:tc>
          <w:tcPr>
            <w:tcW w:w="1454" w:type="pct"/>
            <w:vAlign w:val="center"/>
            <w:hideMark/>
          </w:tcPr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393">
              <w:rPr>
                <w:rFonts w:ascii="Arial" w:hAnsi="Arial" w:cs="Arial"/>
                <w:sz w:val="16"/>
              </w:rPr>
              <w:t>Cadrer pour interdire la prise de vitesse et réduire la prise d’information</w:t>
            </w:r>
          </w:p>
        </w:tc>
        <w:tc>
          <w:tcPr>
            <w:tcW w:w="697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Jeu de corps (le contre, la charge)</w:t>
            </w:r>
          </w:p>
        </w:tc>
        <w:tc>
          <w:tcPr>
            <w:tcW w:w="633" w:type="pct"/>
            <w:vMerge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393" w:rsidRPr="00087F6C" w:rsidTr="004B2393">
        <w:trPr>
          <w:trHeight w:val="1060"/>
          <w:jc w:val="center"/>
        </w:trPr>
        <w:tc>
          <w:tcPr>
            <w:tcW w:w="507" w:type="pct"/>
            <w:vMerge w:val="restart"/>
            <w:shd w:val="clear" w:color="auto" w:fill="548DD4" w:themeFill="text2" w:themeFillTint="99"/>
            <w:vAlign w:val="center"/>
            <w:hideMark/>
          </w:tcPr>
          <w:p w:rsidR="004B2393" w:rsidRDefault="004B2393" w:rsidP="004B239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</w:t>
            </w:r>
          </w:p>
          <w:p w:rsidR="004B2393" w:rsidRPr="00087F6C" w:rsidRDefault="004B2393" w:rsidP="004B239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Juin</w:t>
            </w:r>
          </w:p>
        </w:tc>
        <w:tc>
          <w:tcPr>
            <w:tcW w:w="696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Conserver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Progresser</w:t>
            </w:r>
          </w:p>
        </w:tc>
        <w:tc>
          <w:tcPr>
            <w:tcW w:w="1013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 xml:space="preserve">Occuper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87F6C">
              <w:rPr>
                <w:rFonts w:ascii="Arial" w:hAnsi="Arial" w:cs="Arial"/>
                <w:bCs/>
                <w:sz w:val="16"/>
                <w:szCs w:val="16"/>
              </w:rPr>
              <w:t>l’espace en largeur et profondeur</w:t>
            </w:r>
          </w:p>
        </w:tc>
        <w:tc>
          <w:tcPr>
            <w:tcW w:w="1454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VOIR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Utiliser les notions appuis, appels et soutien selon les possibilités.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ETRE VU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Se déplacer dans les intervalles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Se démarquer en appui entre les lignes et en soutien</w:t>
            </w:r>
          </w:p>
        </w:tc>
        <w:tc>
          <w:tcPr>
            <w:tcW w:w="697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Les passes courtes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Les prises de balles et enchaînement</w:t>
            </w:r>
          </w:p>
        </w:tc>
        <w:tc>
          <w:tcPr>
            <w:tcW w:w="633" w:type="pct"/>
            <w:vMerge/>
            <w:vAlign w:val="center"/>
            <w:hideMark/>
          </w:tcPr>
          <w:p w:rsidR="004B2393" w:rsidRPr="00087F6C" w:rsidRDefault="004B2393" w:rsidP="004B239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393" w:rsidRPr="00087F6C" w:rsidTr="004B2393">
        <w:trPr>
          <w:trHeight w:val="787"/>
          <w:jc w:val="center"/>
        </w:trPr>
        <w:tc>
          <w:tcPr>
            <w:tcW w:w="507" w:type="pct"/>
            <w:vMerge/>
            <w:shd w:val="clear" w:color="auto" w:fill="548DD4" w:themeFill="text2" w:themeFillTint="99"/>
            <w:vAlign w:val="center"/>
            <w:hideMark/>
          </w:tcPr>
          <w:p w:rsidR="004B2393" w:rsidRPr="00087F6C" w:rsidRDefault="004B2393" w:rsidP="004B239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Déséquilibrer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/>
                <w:bCs/>
                <w:sz w:val="16"/>
                <w:szCs w:val="16"/>
              </w:rPr>
              <w:t>Finir</w:t>
            </w:r>
          </w:p>
        </w:tc>
        <w:tc>
          <w:tcPr>
            <w:tcW w:w="1013" w:type="pct"/>
            <w:vAlign w:val="center"/>
            <w:hideMark/>
          </w:tcPr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bCs/>
                <w:sz w:val="16"/>
                <w:szCs w:val="16"/>
              </w:rPr>
              <w:t>Garder le temps d’avance pour finir l’action</w:t>
            </w:r>
          </w:p>
        </w:tc>
        <w:tc>
          <w:tcPr>
            <w:tcW w:w="1454" w:type="pct"/>
            <w:vAlign w:val="center"/>
            <w:hideMark/>
          </w:tcPr>
          <w:p w:rsidR="004B2393" w:rsidRP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393">
              <w:rPr>
                <w:rFonts w:ascii="Arial" w:hAnsi="Arial" w:cs="Arial"/>
                <w:bCs/>
                <w:sz w:val="16"/>
                <w:szCs w:val="16"/>
              </w:rPr>
              <w:t>Occuper la zone de vérité en nombre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B2393">
              <w:rPr>
                <w:rFonts w:ascii="Arial" w:hAnsi="Arial" w:cs="Arial"/>
                <w:bCs/>
                <w:sz w:val="16"/>
                <w:szCs w:val="16"/>
              </w:rPr>
              <w:t>Arriver lancer devant le but</w:t>
            </w:r>
          </w:p>
        </w:tc>
        <w:tc>
          <w:tcPr>
            <w:tcW w:w="697" w:type="pct"/>
            <w:vAlign w:val="center"/>
            <w:hideMark/>
          </w:tcPr>
          <w:p w:rsidR="004B2393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7F6C">
              <w:rPr>
                <w:rFonts w:ascii="Arial" w:hAnsi="Arial" w:cs="Arial"/>
                <w:sz w:val="16"/>
                <w:szCs w:val="16"/>
              </w:rPr>
              <w:t>Les tirs</w:t>
            </w:r>
          </w:p>
          <w:p w:rsidR="004B2393" w:rsidRPr="00087F6C" w:rsidRDefault="004B2393" w:rsidP="004B239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dribbles et enchaînement</w:t>
            </w:r>
          </w:p>
        </w:tc>
        <w:tc>
          <w:tcPr>
            <w:tcW w:w="633" w:type="pct"/>
            <w:vMerge/>
            <w:vAlign w:val="center"/>
            <w:hideMark/>
          </w:tcPr>
          <w:p w:rsidR="004B2393" w:rsidRPr="00087F6C" w:rsidRDefault="004B2393" w:rsidP="004B239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7F6C" w:rsidRDefault="00087F6C" w:rsidP="00924FED"/>
    <w:sectPr w:rsidR="00087F6C" w:rsidSect="00275E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E00" w:rsidRDefault="003F0E00" w:rsidP="00BA49F2">
      <w:pPr>
        <w:spacing w:after="0" w:line="240" w:lineRule="auto"/>
      </w:pPr>
      <w:r>
        <w:separator/>
      </w:r>
    </w:p>
  </w:endnote>
  <w:endnote w:type="continuationSeparator" w:id="1">
    <w:p w:rsidR="003F0E00" w:rsidRDefault="003F0E00" w:rsidP="00BA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E00" w:rsidRDefault="003F0E00" w:rsidP="00BA49F2">
      <w:pPr>
        <w:spacing w:after="0" w:line="240" w:lineRule="auto"/>
      </w:pPr>
      <w:r>
        <w:separator/>
      </w:r>
    </w:p>
  </w:footnote>
  <w:footnote w:type="continuationSeparator" w:id="1">
    <w:p w:rsidR="003F0E00" w:rsidRDefault="003F0E00" w:rsidP="00BA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32"/>
        <w:szCs w:val="32"/>
      </w:rPr>
      <w:alias w:val="Titre"/>
      <w:id w:val="77738743"/>
      <w:placeholder>
        <w:docPart w:val="2A7A23A663AD4E6C9E8B6C6A493490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49F2" w:rsidRPr="00BA49F2" w:rsidRDefault="004B239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>Exemple de Programmation U9</w:t>
        </w:r>
      </w:p>
    </w:sdtContent>
  </w:sdt>
  <w:p w:rsidR="00BA49F2" w:rsidRDefault="00BA49F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F6C"/>
    <w:rsid w:val="00013B64"/>
    <w:rsid w:val="00087F6C"/>
    <w:rsid w:val="00163AB4"/>
    <w:rsid w:val="0024264D"/>
    <w:rsid w:val="00275E6C"/>
    <w:rsid w:val="0028339A"/>
    <w:rsid w:val="003F0E00"/>
    <w:rsid w:val="00437A24"/>
    <w:rsid w:val="004906F5"/>
    <w:rsid w:val="004B2393"/>
    <w:rsid w:val="0058349F"/>
    <w:rsid w:val="005D3F87"/>
    <w:rsid w:val="0087640F"/>
    <w:rsid w:val="008D3AB5"/>
    <w:rsid w:val="00924FED"/>
    <w:rsid w:val="009C50F6"/>
    <w:rsid w:val="00BA49F2"/>
    <w:rsid w:val="00CF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7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A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9F2"/>
  </w:style>
  <w:style w:type="paragraph" w:styleId="Pieddepage">
    <w:name w:val="footer"/>
    <w:basedOn w:val="Normal"/>
    <w:link w:val="PieddepageCar"/>
    <w:uiPriority w:val="99"/>
    <w:semiHidden/>
    <w:unhideWhenUsed/>
    <w:rsid w:val="00BA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49F2"/>
  </w:style>
  <w:style w:type="paragraph" w:styleId="Textedebulles">
    <w:name w:val="Balloon Text"/>
    <w:basedOn w:val="Normal"/>
    <w:link w:val="TextedebullesCar"/>
    <w:uiPriority w:val="99"/>
    <w:semiHidden/>
    <w:unhideWhenUsed/>
    <w:rsid w:val="00BA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7A23A663AD4E6C9E8B6C6A49349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BB135-EDAF-4124-9D39-AE5A0D464644}"/>
      </w:docPartPr>
      <w:docPartBody>
        <w:p w:rsidR="00281F6D" w:rsidRDefault="00D221A7" w:rsidP="00D221A7">
          <w:pPr>
            <w:pStyle w:val="2A7A23A663AD4E6C9E8B6C6A493490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221A7"/>
    <w:rsid w:val="000368F4"/>
    <w:rsid w:val="00281F6D"/>
    <w:rsid w:val="00D2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A7A23A663AD4E6C9E8B6C6A493490FD">
    <w:name w:val="2A7A23A663AD4E6C9E8B6C6A493490FD"/>
    <w:rsid w:val="00D221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Programmation U9</dc:title>
  <dc:creator>Manu</dc:creator>
  <cp:lastModifiedBy>Manu</cp:lastModifiedBy>
  <cp:revision>3</cp:revision>
  <dcterms:created xsi:type="dcterms:W3CDTF">2012-02-07T09:39:00Z</dcterms:created>
  <dcterms:modified xsi:type="dcterms:W3CDTF">2012-02-08T11:36:00Z</dcterms:modified>
</cp:coreProperties>
</file>